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9D1D6">
      <w:pPr>
        <w:spacing w:line="360" w:lineRule="auto"/>
        <w:rPr>
          <w:rFonts w:hint="eastAsia" w:cs="Times New Roman" w:asciiTheme="minorEastAsia" w:hAnsiTheme="minorEastAsia" w:eastAsiaTheme="minorEastAsia"/>
          <w:b/>
          <w:snapToGrid w:val="0"/>
          <w:color w:val="000000"/>
          <w:kern w:val="44"/>
          <w:sz w:val="24"/>
          <w:szCs w:val="24"/>
          <w:lang w:val="en-US" w:eastAsia="zh-CN" w:bidi="ar-SA"/>
        </w:rPr>
      </w:pPr>
      <w:r>
        <w:rPr>
          <w:rFonts w:hint="eastAsia" w:cs="Times New Roman" w:asciiTheme="minorEastAsia" w:hAnsiTheme="minorEastAsia" w:eastAsiaTheme="minorEastAsia"/>
          <w:b/>
          <w:snapToGrid w:val="0"/>
          <w:color w:val="000000"/>
          <w:kern w:val="44"/>
          <w:sz w:val="24"/>
          <w:szCs w:val="24"/>
          <w:lang w:val="en-US" w:eastAsia="zh-CN" w:bidi="ar-SA"/>
        </w:rPr>
        <w:t>附件1：2024年（第三届）“金育杯”金融智能投顾竞赛全国总决赛评分规则</w:t>
      </w:r>
    </w:p>
    <w:p w14:paraId="0DA09FA5">
      <w:pPr>
        <w:spacing w:line="360" w:lineRule="auto"/>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一、得分构成</w:t>
      </w:r>
    </w:p>
    <w:p w14:paraId="15C1FEAB">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决赛中财富人生理财实战沙</w:t>
      </w:r>
      <w:bookmarkStart w:id="0" w:name="_GoBack"/>
      <w:bookmarkEnd w:id="0"/>
      <w:r>
        <w:rPr>
          <w:rFonts w:hint="eastAsia" w:cs="Times New Roman" w:asciiTheme="minorEastAsia" w:hAnsiTheme="minorEastAsia" w:eastAsiaTheme="minorEastAsia"/>
          <w:bCs/>
          <w:sz w:val="24"/>
          <w:szCs w:val="24"/>
        </w:rPr>
        <w:t>盘得分分为个人得分和团队得分。</w:t>
      </w:r>
    </w:p>
    <w:p w14:paraId="1DF3682C">
      <w:pPr>
        <w:spacing w:line="360" w:lineRule="auto"/>
        <w:ind w:firstLine="42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个人得分</w:t>
      </w:r>
    </w:p>
    <w:p w14:paraId="05911FBF">
      <w:pPr>
        <w:spacing w:line="360" w:lineRule="auto"/>
        <w:ind w:firstLine="42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参赛队伍由队长在赛前指定时段进入系统进行客户角色配置及团队人员部署，平台角色包含激进型、保守型、稳健性、进取型和平衡性</w:t>
      </w:r>
      <w:r>
        <w:rPr>
          <w:rFonts w:hint="eastAsia" w:cs="Times New Roman" w:asciiTheme="minorEastAsia" w:hAnsiTheme="minorEastAsia" w:eastAsiaTheme="minorEastAsia"/>
          <w:bCs/>
          <w:color w:val="auto"/>
          <w:sz w:val="24"/>
          <w:szCs w:val="24"/>
          <w:lang w:val="en-US" w:eastAsia="zh-CN"/>
        </w:rPr>
        <w:t>中由系统配置设置4个角色</w:t>
      </w:r>
      <w:r>
        <w:rPr>
          <w:rFonts w:cs="Times New Roman" w:asciiTheme="minorEastAsia" w:hAnsiTheme="minorEastAsia" w:eastAsiaTheme="minorEastAsia"/>
          <w:bCs/>
          <w:color w:val="auto"/>
          <w:sz w:val="24"/>
          <w:szCs w:val="24"/>
        </w:rPr>
        <w:t>，个人得分构成均包含配置能力、家庭保障、客户维护和</w:t>
      </w:r>
      <w:r>
        <w:rPr>
          <w:rFonts w:hint="eastAsia" w:cs="Times New Roman" w:asciiTheme="minorEastAsia" w:hAnsiTheme="minorEastAsia" w:eastAsiaTheme="minorEastAsia"/>
          <w:bCs/>
          <w:color w:val="auto"/>
          <w:sz w:val="24"/>
          <w:szCs w:val="24"/>
          <w:lang w:val="en-US" w:eastAsia="zh-CN"/>
        </w:rPr>
        <w:t>机构</w:t>
      </w:r>
      <w:r>
        <w:rPr>
          <w:rFonts w:cs="Times New Roman" w:asciiTheme="minorEastAsia" w:hAnsiTheme="minorEastAsia" w:eastAsiaTheme="minorEastAsia"/>
          <w:bCs/>
          <w:color w:val="auto"/>
          <w:sz w:val="24"/>
          <w:szCs w:val="24"/>
        </w:rPr>
        <w:t>贡献四个部分，随着选手的操作实时变化，具体比例及对应指标如下：</w:t>
      </w:r>
    </w:p>
    <w:p w14:paraId="48B866D5">
      <w:pPr>
        <w:spacing w:line="360" w:lineRule="auto"/>
        <w:jc w:val="center"/>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drawing>
          <wp:inline distT="0" distB="0" distL="114300" distR="114300">
            <wp:extent cx="5271135" cy="1916430"/>
            <wp:effectExtent l="0" t="0" r="12065"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271135" cy="1916430"/>
                    </a:xfrm>
                    <a:prstGeom prst="rect">
                      <a:avLst/>
                    </a:prstGeom>
                    <a:noFill/>
                    <a:ln>
                      <a:noFill/>
                    </a:ln>
                  </pic:spPr>
                </pic:pic>
              </a:graphicData>
            </a:graphic>
          </wp:inline>
        </w:drawing>
      </w:r>
    </w:p>
    <w:p w14:paraId="361A0835">
      <w:pPr>
        <w:spacing w:line="360" w:lineRule="auto"/>
        <w:jc w:val="center"/>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drawing>
          <wp:inline distT="0" distB="0" distL="114300" distR="114300">
            <wp:extent cx="5273040" cy="651510"/>
            <wp:effectExtent l="0" t="0" r="10160" b="889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5"/>
                    <a:stretch>
                      <a:fillRect/>
                    </a:stretch>
                  </pic:blipFill>
                  <pic:spPr>
                    <a:xfrm>
                      <a:off x="0" y="0"/>
                      <a:ext cx="5273040" cy="651510"/>
                    </a:xfrm>
                    <a:prstGeom prst="rect">
                      <a:avLst/>
                    </a:prstGeom>
                    <a:noFill/>
                    <a:ln>
                      <a:noFill/>
                    </a:ln>
                  </pic:spPr>
                </pic:pic>
              </a:graphicData>
            </a:graphic>
          </wp:inline>
        </w:drawing>
      </w:r>
    </w:p>
    <w:p w14:paraId="0222511C">
      <w:pPr>
        <w:spacing w:line="360" w:lineRule="auto"/>
        <w:jc w:val="center"/>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平台界面展示如上图</w:t>
      </w:r>
    </w:p>
    <w:p w14:paraId="342F6EB8">
      <w:pPr>
        <w:spacing w:line="360" w:lineRule="auto"/>
        <w:ind w:firstLine="42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（二）</w:t>
      </w:r>
      <w:r>
        <w:rPr>
          <w:rFonts w:cs="Times New Roman" w:asciiTheme="minorEastAsia" w:hAnsiTheme="minorEastAsia" w:eastAsiaTheme="minorEastAsia"/>
          <w:bCs/>
          <w:color w:val="auto"/>
          <w:sz w:val="24"/>
          <w:szCs w:val="24"/>
        </w:rPr>
        <w:t>团队得分</w:t>
      </w:r>
    </w:p>
    <w:p w14:paraId="4F1504CF">
      <w:pPr>
        <w:spacing w:line="360" w:lineRule="auto"/>
        <w:ind w:firstLine="420"/>
        <w:rPr>
          <w:rFonts w:cs="Times New Roman" w:asciiTheme="minorEastAsia" w:hAnsiTheme="minorEastAsia" w:eastAsiaTheme="minorEastAsia"/>
          <w:bCs/>
          <w:sz w:val="24"/>
          <w:szCs w:val="24"/>
        </w:rPr>
      </w:pPr>
      <w:r>
        <w:rPr>
          <w:rFonts w:cs="Times New Roman" w:asciiTheme="minorEastAsia" w:hAnsiTheme="minorEastAsia" w:eastAsiaTheme="minorEastAsia"/>
          <w:bCs/>
          <w:color w:val="auto"/>
          <w:sz w:val="24"/>
          <w:szCs w:val="24"/>
        </w:rPr>
        <w:t>参赛队伍的团队得分为团队</w:t>
      </w:r>
      <w:r>
        <w:rPr>
          <w:rFonts w:hint="eastAsia" w:cs="Times New Roman" w:asciiTheme="minorEastAsia" w:hAnsiTheme="minorEastAsia" w:eastAsiaTheme="minorEastAsia"/>
          <w:bCs/>
          <w:color w:val="auto"/>
          <w:sz w:val="24"/>
          <w:szCs w:val="24"/>
          <w:lang w:val="en-US" w:eastAsia="zh-CN"/>
        </w:rPr>
        <w:t>四</w:t>
      </w:r>
      <w:r>
        <w:rPr>
          <w:rFonts w:cs="Times New Roman" w:asciiTheme="minorEastAsia" w:hAnsiTheme="minorEastAsia" w:eastAsiaTheme="minorEastAsia"/>
          <w:bCs/>
          <w:color w:val="auto"/>
          <w:sz w:val="24"/>
          <w:szCs w:val="24"/>
        </w:rPr>
        <w:t>人个人得分的平均分。</w:t>
      </w:r>
    </w:p>
    <w:p w14:paraId="673FF77F">
      <w:pPr>
        <w:spacing w:line="360" w:lineRule="auto"/>
        <w:ind w:firstLine="482" w:firstLineChars="200"/>
        <w:rPr>
          <w:rFonts w:asciiTheme="minorEastAsia" w:hAnsiTheme="minorEastAsia" w:eastAsiaTheme="minorEastAsia"/>
          <w:b/>
          <w:sz w:val="24"/>
          <w:szCs w:val="24"/>
        </w:rPr>
      </w:pPr>
      <w:r>
        <w:rPr>
          <w:rFonts w:hint="eastAsia" w:cs="Times New Roman" w:asciiTheme="minorEastAsia" w:hAnsiTheme="minorEastAsia" w:eastAsiaTheme="minorEastAsia"/>
          <w:b/>
          <w:sz w:val="24"/>
          <w:szCs w:val="24"/>
        </w:rPr>
        <w:t>二、平台介绍</w:t>
      </w:r>
      <w:r>
        <w:rPr>
          <w:rFonts w:cs="Times New Roman" w:asciiTheme="minorEastAsia" w:hAnsiTheme="minorEastAsia" w:eastAsiaTheme="minorEastAsia"/>
          <w:b/>
          <w:sz w:val="24"/>
          <w:szCs w:val="24"/>
        </w:rPr>
        <w:tab/>
      </w:r>
    </w:p>
    <w:p w14:paraId="283DCF41">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财富人生理财实战沙盘</w:t>
      </w:r>
      <w:r>
        <w:rPr>
          <w:rFonts w:cs="Times New Roman" w:asciiTheme="minorEastAsia" w:hAnsiTheme="minorEastAsia" w:eastAsiaTheme="minorEastAsia"/>
          <w:bCs/>
          <w:sz w:val="24"/>
          <w:szCs w:val="24"/>
        </w:rPr>
        <w:t>是一个基于金融智能投顾体系开发的线上平台,并且结合其资源进行资产配置、仿真的综合性教育</w:t>
      </w:r>
      <w:r>
        <w:rPr>
          <w:rFonts w:hint="eastAsia" w:cs="Times New Roman" w:asciiTheme="minorEastAsia" w:hAnsiTheme="minorEastAsia" w:eastAsiaTheme="minorEastAsia"/>
          <w:bCs/>
          <w:sz w:val="24"/>
          <w:szCs w:val="24"/>
        </w:rPr>
        <w:t>平台</w:t>
      </w:r>
      <w:r>
        <w:rPr>
          <w:rFonts w:cs="Times New Roman" w:asciiTheme="minorEastAsia" w:hAnsiTheme="minorEastAsia" w:eastAsiaTheme="minorEastAsia"/>
          <w:bCs/>
          <w:sz w:val="24"/>
          <w:szCs w:val="24"/>
        </w:rPr>
        <w:t>。添加围绕普适性强的资产配置理念，融入大数据、金融科技、历史数据、客户仿真算法等技术，以解决我国金融产业人才短缺为目的，以金融职业教育+科技的力量，而形成的综合仿真平台。</w:t>
      </w:r>
    </w:p>
    <w:p w14:paraId="745C7CC0">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 xml:space="preserve">平台背景设定 </w:t>
      </w:r>
    </w:p>
    <w:p w14:paraId="265DF566">
      <w:pPr>
        <w:spacing w:line="360" w:lineRule="auto"/>
        <w:ind w:firstLine="480" w:firstLineChars="200"/>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平台将模拟</w:t>
      </w:r>
      <w:r>
        <w:rPr>
          <w:rFonts w:hint="eastAsia" w:cs="Times New Roman" w:asciiTheme="minorEastAsia" w:hAnsiTheme="minorEastAsia" w:eastAsiaTheme="minorEastAsia"/>
          <w:bCs/>
          <w:sz w:val="24"/>
          <w:szCs w:val="24"/>
          <w:lang w:eastAsia="zh-CN"/>
        </w:rPr>
        <w:t>参赛选手</w:t>
      </w:r>
      <w:r>
        <w:rPr>
          <w:rFonts w:cs="Times New Roman" w:asciiTheme="minorEastAsia" w:hAnsiTheme="minorEastAsia" w:eastAsiaTheme="minorEastAsia"/>
          <w:bCs/>
          <w:sz w:val="24"/>
          <w:szCs w:val="24"/>
        </w:rPr>
        <w:t>（对象）是一位财富管理者，其间</w:t>
      </w:r>
      <w:r>
        <w:rPr>
          <w:rFonts w:hint="eastAsia" w:cs="Times New Roman" w:asciiTheme="minorEastAsia" w:hAnsiTheme="minorEastAsia" w:eastAsiaTheme="minorEastAsia"/>
          <w:bCs/>
          <w:sz w:val="24"/>
          <w:szCs w:val="24"/>
          <w:lang w:eastAsia="zh-CN"/>
        </w:rPr>
        <w:t>参赛选手</w:t>
      </w:r>
      <w:r>
        <w:rPr>
          <w:rFonts w:cs="Times New Roman" w:asciiTheme="minorEastAsia" w:hAnsiTheme="minorEastAsia" w:eastAsiaTheme="minorEastAsia"/>
          <w:bCs/>
          <w:sz w:val="24"/>
          <w:szCs w:val="24"/>
        </w:rPr>
        <w:t>将面对真实的客户与真实的财富需求，可以体会历史各个时间段的市场变化，并学会如何应对与处理；可以深刻理解不同类型客户与</w:t>
      </w:r>
      <w:r>
        <w:rPr>
          <w:rFonts w:hint="eastAsia" w:cs="Times New Roman" w:asciiTheme="minorEastAsia" w:hAnsiTheme="minorEastAsia" w:eastAsiaTheme="minorEastAsia"/>
          <w:bCs/>
          <w:sz w:val="24"/>
          <w:szCs w:val="24"/>
          <w:lang w:eastAsia="zh-CN"/>
        </w:rPr>
        <w:t>参赛选手</w:t>
      </w:r>
      <w:r>
        <w:rPr>
          <w:rFonts w:cs="Times New Roman" w:asciiTheme="minorEastAsia" w:hAnsiTheme="minorEastAsia" w:eastAsiaTheme="minorEastAsia"/>
          <w:bCs/>
          <w:sz w:val="24"/>
          <w:szCs w:val="24"/>
        </w:rPr>
        <w:t>配合的难点；可以尝试不同财富服务对客户的影响；可以仿真最全面的资产配置。</w:t>
      </w:r>
    </w:p>
    <w:p w14:paraId="7A1338EC">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（二）比赛</w:t>
      </w:r>
      <w:r>
        <w:rPr>
          <w:rFonts w:cs="Times New Roman" w:asciiTheme="minorEastAsia" w:hAnsiTheme="minorEastAsia" w:eastAsiaTheme="minorEastAsia"/>
          <w:bCs/>
          <w:sz w:val="24"/>
          <w:szCs w:val="24"/>
        </w:rPr>
        <w:t>机制</w:t>
      </w:r>
    </w:p>
    <w:p w14:paraId="34C1819B">
      <w:pPr>
        <w:spacing w:line="360" w:lineRule="auto"/>
        <w:ind w:firstLine="480" w:firstLineChars="200"/>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本平台可以简单理解为选择真实的金融市场历史中一</w:t>
      </w:r>
      <w:r>
        <w:rPr>
          <w:rFonts w:hint="eastAsia" w:cs="Times New Roman" w:asciiTheme="minorEastAsia" w:hAnsiTheme="minorEastAsia" w:eastAsiaTheme="minorEastAsia"/>
          <w:bCs/>
          <w:sz w:val="24"/>
          <w:szCs w:val="24"/>
          <w:lang w:val="en-US" w:eastAsia="zh-CN"/>
        </w:rPr>
        <w:t>个</w:t>
      </w:r>
      <w:r>
        <w:rPr>
          <w:rFonts w:cs="Times New Roman" w:asciiTheme="minorEastAsia" w:hAnsiTheme="minorEastAsia" w:eastAsiaTheme="minorEastAsia"/>
          <w:bCs/>
          <w:sz w:val="24"/>
          <w:szCs w:val="24"/>
        </w:rPr>
        <w:t>时间段，以加速的方式进行模拟，</w:t>
      </w:r>
      <w:r>
        <w:rPr>
          <w:rFonts w:hint="eastAsia" w:cs="Times New Roman" w:asciiTheme="minorEastAsia" w:hAnsiTheme="minorEastAsia" w:eastAsiaTheme="minorEastAsia"/>
          <w:bCs/>
          <w:sz w:val="24"/>
          <w:szCs w:val="24"/>
          <w:lang w:eastAsia="zh-CN"/>
        </w:rPr>
        <w:t>参赛选手</w:t>
      </w:r>
      <w:r>
        <w:rPr>
          <w:rFonts w:cs="Times New Roman" w:asciiTheme="minorEastAsia" w:hAnsiTheme="minorEastAsia" w:eastAsiaTheme="minorEastAsia"/>
          <w:bCs/>
          <w:sz w:val="24"/>
          <w:szCs w:val="24"/>
        </w:rPr>
        <w:t>可以在该加速的时间段进行财富管理的操作，最后的财富情况将由服务的不同客户类型进行打分获得分数。具体内容如下：</w:t>
      </w:r>
    </w:p>
    <w:p w14:paraId="1077F0D8">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1、</w:t>
      </w:r>
      <w:r>
        <w:rPr>
          <w:rFonts w:hint="eastAsia" w:cs="Times New Roman" w:asciiTheme="minorEastAsia" w:hAnsiTheme="minorEastAsia" w:eastAsiaTheme="minorEastAsia"/>
          <w:bCs/>
          <w:sz w:val="24"/>
          <w:szCs w:val="24"/>
          <w:lang w:eastAsia="zh-CN"/>
        </w:rPr>
        <w:t>参赛选手</w:t>
      </w:r>
      <w:r>
        <w:rPr>
          <w:rFonts w:cs="Times New Roman" w:asciiTheme="minorEastAsia" w:hAnsiTheme="minorEastAsia" w:eastAsiaTheme="minorEastAsia"/>
          <w:bCs/>
          <w:sz w:val="24"/>
          <w:szCs w:val="24"/>
        </w:rPr>
        <w:t>模拟成为一名真实财富管理者，进入本产品后可以选择为某一类客户进行财富管理。客户类型主要包括初始资产、客户风险类型、客户保障需求等隐含指标。</w:t>
      </w:r>
    </w:p>
    <w:p w14:paraId="245DB15B">
      <w:pPr>
        <w:spacing w:line="360" w:lineRule="auto"/>
        <w:ind w:firstLine="480" w:firstLineChars="200"/>
        <w:rPr>
          <w:rFonts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2</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sz w:val="24"/>
          <w:szCs w:val="24"/>
        </w:rPr>
        <w:t>选择完毕后，系统会自动在近25年的真实历史金融市场中选择一个随机的一个时间点，以该时间点为初始时间点，使</w:t>
      </w:r>
      <w:r>
        <w:rPr>
          <w:rFonts w:hint="eastAsia" w:cs="Times New Roman" w:asciiTheme="minorEastAsia" w:hAnsiTheme="minorEastAsia" w:eastAsiaTheme="minorEastAsia"/>
          <w:bCs/>
          <w:sz w:val="24"/>
          <w:szCs w:val="24"/>
          <w:lang w:eastAsia="zh-CN"/>
        </w:rPr>
        <w:t>参赛选手</w:t>
      </w:r>
      <w:r>
        <w:rPr>
          <w:rFonts w:cs="Times New Roman" w:asciiTheme="minorEastAsia" w:hAnsiTheme="minorEastAsia" w:eastAsiaTheme="minorEastAsia"/>
          <w:bCs/>
          <w:sz w:val="24"/>
          <w:szCs w:val="24"/>
        </w:rPr>
        <w:t>进行财富管理。</w:t>
      </w:r>
    </w:p>
    <w:p w14:paraId="029E7D73">
      <w:pPr>
        <w:spacing w:line="360" w:lineRule="auto"/>
        <w:ind w:firstLine="480" w:firstLineChars="200"/>
        <w:rPr>
          <w:rFonts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3、</w:t>
      </w:r>
      <w:r>
        <w:rPr>
          <w:rFonts w:cs="Times New Roman" w:asciiTheme="minorEastAsia" w:hAnsiTheme="minorEastAsia" w:eastAsiaTheme="minorEastAsia"/>
          <w:bCs/>
          <w:sz w:val="24"/>
          <w:szCs w:val="24"/>
        </w:rPr>
        <w:t>以该时间点之后，每2秒度过一天更新历史中当天真实的市场数据，所有的产品市场数据都将以真实的历史市场数据进行推进。</w:t>
      </w:r>
      <w:r>
        <w:rPr>
          <w:rFonts w:hint="eastAsia" w:cs="Times New Roman" w:asciiTheme="minorEastAsia" w:hAnsiTheme="minorEastAsia" w:eastAsiaTheme="minorEastAsia"/>
          <w:bCs/>
          <w:sz w:val="24"/>
          <w:szCs w:val="24"/>
          <w:lang w:eastAsia="zh-CN"/>
        </w:rPr>
        <w:t>参赛选手</w:t>
      </w:r>
      <w:r>
        <w:rPr>
          <w:rFonts w:cs="Times New Roman" w:asciiTheme="minorEastAsia" w:hAnsiTheme="minorEastAsia" w:eastAsiaTheme="minorEastAsia"/>
          <w:bCs/>
          <w:sz w:val="24"/>
          <w:szCs w:val="24"/>
        </w:rPr>
        <w:t>可以在该时间内，观察市场数据的波动和发展情况进行产品买卖。</w:t>
      </w:r>
    </w:p>
    <w:p w14:paraId="1DC92C3A">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sz w:val="24"/>
          <w:szCs w:val="24"/>
        </w:rPr>
        <w:t>4</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sz w:val="24"/>
          <w:szCs w:val="24"/>
        </w:rPr>
        <w:t>模拟的时间段为一年，在模拟的这一年中，系统还将加入部分外部突发</w:t>
      </w:r>
      <w:r>
        <w:rPr>
          <w:rFonts w:cs="Times New Roman" w:asciiTheme="minorEastAsia" w:hAnsiTheme="minorEastAsia" w:eastAsiaTheme="minorEastAsia"/>
          <w:bCs/>
          <w:color w:val="auto"/>
          <w:sz w:val="24"/>
          <w:szCs w:val="24"/>
        </w:rPr>
        <w:t>金融时间的冲击，</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可以根据突发事件的冲击进行产品应对调配。</w:t>
      </w:r>
    </w:p>
    <w:p w14:paraId="4E1B0BE1">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5、</w:t>
      </w:r>
      <w:r>
        <w:rPr>
          <w:rFonts w:cs="Times New Roman" w:asciiTheme="minorEastAsia" w:hAnsiTheme="minorEastAsia" w:eastAsiaTheme="minorEastAsia"/>
          <w:bCs/>
          <w:color w:val="auto"/>
          <w:sz w:val="24"/>
          <w:szCs w:val="24"/>
        </w:rPr>
        <w:t>在模拟的时间段内，</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的收益、各产品配比、风险度等指标都将和最初选择的客户类型自动匹配进行评价，不同的客户类型对应不同的评价机制，并且按照</w:t>
      </w:r>
      <w:r>
        <w:rPr>
          <w:rFonts w:hint="eastAsia" w:cs="Times New Roman" w:asciiTheme="minorEastAsia" w:hAnsiTheme="minorEastAsia" w:eastAsiaTheme="minorEastAsia"/>
          <w:bCs/>
          <w:color w:val="auto"/>
          <w:sz w:val="24"/>
          <w:szCs w:val="24"/>
          <w:lang w:eastAsia="zh-CN"/>
        </w:rPr>
        <w:t>金融机构</w:t>
      </w:r>
      <w:r>
        <w:rPr>
          <w:rFonts w:cs="Times New Roman" w:asciiTheme="minorEastAsia" w:hAnsiTheme="minorEastAsia" w:eastAsiaTheme="minorEastAsia"/>
          <w:bCs/>
          <w:color w:val="auto"/>
          <w:sz w:val="24"/>
          <w:szCs w:val="24"/>
        </w:rPr>
        <w:t>真实的考核指标进行评分。</w:t>
      </w:r>
    </w:p>
    <w:p w14:paraId="37BB3B47">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三、</w:t>
      </w:r>
      <w:r>
        <w:rPr>
          <w:rFonts w:cs="Times New Roman" w:asciiTheme="minorEastAsia" w:hAnsiTheme="minorEastAsia" w:eastAsiaTheme="minorEastAsia"/>
          <w:bCs/>
          <w:color w:val="auto"/>
          <w:sz w:val="24"/>
          <w:szCs w:val="24"/>
        </w:rPr>
        <w:t>关键要素</w:t>
      </w:r>
    </w:p>
    <w:p w14:paraId="3BFDE4A8">
      <w:pPr>
        <w:spacing w:line="360" w:lineRule="auto"/>
        <w:ind w:firstLine="42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1、</w:t>
      </w:r>
      <w:r>
        <w:rPr>
          <w:rFonts w:cs="Times New Roman" w:asciiTheme="minorEastAsia" w:hAnsiTheme="minorEastAsia" w:eastAsiaTheme="minorEastAsia"/>
          <w:bCs/>
          <w:color w:val="auto"/>
          <w:sz w:val="24"/>
          <w:szCs w:val="24"/>
        </w:rPr>
        <w:t>真实历史时间段</w:t>
      </w:r>
    </w:p>
    <w:p w14:paraId="68D5C1B2">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本平台采集了最近25年的金融产业主流</w:t>
      </w:r>
      <w:r>
        <w:rPr>
          <w:rFonts w:hint="eastAsia" w:cs="Times New Roman" w:asciiTheme="minorEastAsia" w:hAnsiTheme="minorEastAsia" w:eastAsiaTheme="minorEastAsia"/>
          <w:bCs/>
          <w:color w:val="auto"/>
          <w:sz w:val="24"/>
          <w:szCs w:val="24"/>
          <w:lang w:eastAsia="zh-CN"/>
        </w:rPr>
        <w:t>金融机构</w:t>
      </w:r>
      <w:r>
        <w:rPr>
          <w:rFonts w:cs="Times New Roman" w:asciiTheme="minorEastAsia" w:hAnsiTheme="minorEastAsia" w:eastAsiaTheme="minorEastAsia"/>
          <w:bCs/>
          <w:color w:val="auto"/>
          <w:sz w:val="24"/>
          <w:szCs w:val="24"/>
        </w:rPr>
        <w:t>产品的市场数据，并且数据经过了拟合处理后上传至平台，保证</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可以体会最真实的金融市场。</w:t>
      </w:r>
    </w:p>
    <w:p w14:paraId="5415E4B3">
      <w:pPr>
        <w:spacing w:line="360" w:lineRule="auto"/>
        <w:ind w:firstLine="42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2、</w:t>
      </w:r>
      <w:r>
        <w:rPr>
          <w:rFonts w:cs="Times New Roman" w:asciiTheme="minorEastAsia" w:hAnsiTheme="minorEastAsia" w:eastAsiaTheme="minorEastAsia"/>
          <w:bCs/>
          <w:color w:val="auto"/>
          <w:sz w:val="24"/>
          <w:szCs w:val="24"/>
        </w:rPr>
        <w:t>最贴近岗位的</w:t>
      </w:r>
      <w:r>
        <w:rPr>
          <w:rFonts w:hint="eastAsia" w:cs="Times New Roman" w:asciiTheme="minorEastAsia" w:hAnsiTheme="minorEastAsia" w:eastAsiaTheme="minorEastAsia"/>
          <w:bCs/>
          <w:color w:val="auto"/>
          <w:sz w:val="24"/>
          <w:szCs w:val="24"/>
          <w:lang w:eastAsia="zh-CN"/>
        </w:rPr>
        <w:t>金融机构</w:t>
      </w:r>
      <w:r>
        <w:rPr>
          <w:rFonts w:cs="Times New Roman" w:asciiTheme="minorEastAsia" w:hAnsiTheme="minorEastAsia" w:eastAsiaTheme="minorEastAsia"/>
          <w:bCs/>
          <w:color w:val="auto"/>
          <w:sz w:val="24"/>
          <w:szCs w:val="24"/>
        </w:rPr>
        <w:t>产品</w:t>
      </w:r>
    </w:p>
    <w:p w14:paraId="6C9A297C">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不同于市场针对某一个特定市场，本平台选取了</w:t>
      </w:r>
      <w:r>
        <w:rPr>
          <w:rFonts w:hint="eastAsia" w:cs="Times New Roman" w:asciiTheme="minorEastAsia" w:hAnsiTheme="minorEastAsia" w:eastAsiaTheme="minorEastAsia"/>
          <w:bCs/>
          <w:color w:val="auto"/>
          <w:sz w:val="24"/>
          <w:szCs w:val="24"/>
          <w:lang w:eastAsia="zh-CN"/>
        </w:rPr>
        <w:t>金融机构</w:t>
      </w:r>
      <w:r>
        <w:rPr>
          <w:rFonts w:cs="Times New Roman" w:asciiTheme="minorEastAsia" w:hAnsiTheme="minorEastAsia" w:eastAsiaTheme="minorEastAsia"/>
          <w:bCs/>
          <w:color w:val="auto"/>
          <w:sz w:val="24"/>
          <w:szCs w:val="24"/>
        </w:rPr>
        <w:t>最常见、最真实、最普及的产品进行，保证</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能够在未来的金融岗位中应用标的的产品。</w:t>
      </w:r>
    </w:p>
    <w:p w14:paraId="5DAB0D6F">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3、</w:t>
      </w:r>
      <w:r>
        <w:rPr>
          <w:rFonts w:cs="Times New Roman" w:asciiTheme="minorEastAsia" w:hAnsiTheme="minorEastAsia" w:eastAsiaTheme="minorEastAsia"/>
          <w:bCs/>
          <w:color w:val="auto"/>
          <w:sz w:val="24"/>
          <w:szCs w:val="24"/>
        </w:rPr>
        <w:t>加速了模拟的时间进程</w:t>
      </w:r>
    </w:p>
    <w:p w14:paraId="12A57835">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模拟的市场中每2秒即代表一天，使</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能够在较短的时间内 模拟一年的金融市场发展。既保证了效率又保证了高时间跨度。</w:t>
      </w:r>
    </w:p>
    <w:p w14:paraId="3CD30922">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4</w:t>
      </w:r>
      <w:r>
        <w:rPr>
          <w:rFonts w:hint="eastAsia" w:cs="Times New Roman" w:asciiTheme="minorEastAsia" w:hAnsiTheme="minorEastAsia" w:eastAsiaTheme="minorEastAsia"/>
          <w:bCs/>
          <w:color w:val="auto"/>
          <w:sz w:val="24"/>
          <w:szCs w:val="24"/>
        </w:rPr>
        <w:t>、</w:t>
      </w:r>
      <w:r>
        <w:rPr>
          <w:rFonts w:cs="Times New Roman" w:asciiTheme="minorEastAsia" w:hAnsiTheme="minorEastAsia" w:eastAsiaTheme="minorEastAsia"/>
          <w:bCs/>
          <w:color w:val="auto"/>
          <w:sz w:val="24"/>
          <w:szCs w:val="24"/>
        </w:rPr>
        <w:t>加入模拟突发事件</w:t>
      </w:r>
    </w:p>
    <w:p w14:paraId="59478D4F">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使</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在模拟操作中能够学到应对突发事件的管理能力，使内容更加丰富，操作性更强。</w:t>
      </w:r>
    </w:p>
    <w:p w14:paraId="44057721">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5、</w:t>
      </w:r>
      <w:r>
        <w:rPr>
          <w:rFonts w:cs="Times New Roman" w:asciiTheme="minorEastAsia" w:hAnsiTheme="minorEastAsia" w:eastAsiaTheme="minorEastAsia"/>
          <w:bCs/>
          <w:color w:val="auto"/>
          <w:sz w:val="24"/>
          <w:szCs w:val="24"/>
        </w:rPr>
        <w:t>不同客户类型不同的评价机制</w:t>
      </w:r>
    </w:p>
    <w:p w14:paraId="05944D40">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不同的客户类型将对</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的管理作出不同的评价机制，使</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能够更多元的进行模拟，深刻理解不同的客户类型对于财富管理的需求和喜好。</w:t>
      </w:r>
    </w:p>
    <w:p w14:paraId="34735520">
      <w:pPr>
        <w:spacing w:line="360" w:lineRule="auto"/>
        <w:ind w:firstLine="480" w:firstLineChars="200"/>
        <w:rPr>
          <w:rFonts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6、</w:t>
      </w:r>
      <w:r>
        <w:rPr>
          <w:rFonts w:cs="Times New Roman" w:asciiTheme="minorEastAsia" w:hAnsiTheme="minorEastAsia" w:eastAsiaTheme="minorEastAsia"/>
          <w:bCs/>
          <w:color w:val="auto"/>
          <w:sz w:val="24"/>
          <w:szCs w:val="24"/>
        </w:rPr>
        <w:t>按照真实</w:t>
      </w:r>
      <w:r>
        <w:rPr>
          <w:rFonts w:hint="eastAsia" w:cs="Times New Roman" w:asciiTheme="minorEastAsia" w:hAnsiTheme="minorEastAsia" w:eastAsiaTheme="minorEastAsia"/>
          <w:bCs/>
          <w:color w:val="auto"/>
          <w:sz w:val="24"/>
          <w:szCs w:val="24"/>
          <w:lang w:eastAsia="zh-CN"/>
        </w:rPr>
        <w:t>金融机构</w:t>
      </w:r>
      <w:r>
        <w:rPr>
          <w:rFonts w:cs="Times New Roman" w:asciiTheme="minorEastAsia" w:hAnsiTheme="minorEastAsia" w:eastAsiaTheme="minorEastAsia"/>
          <w:bCs/>
          <w:color w:val="auto"/>
          <w:sz w:val="24"/>
          <w:szCs w:val="24"/>
        </w:rPr>
        <w:t>考核标准进行评价</w:t>
      </w:r>
    </w:p>
    <w:p w14:paraId="7E78D39B">
      <w:pPr>
        <w:spacing w:line="360" w:lineRule="auto"/>
        <w:ind w:firstLine="480" w:firstLineChars="200"/>
        <w:rPr>
          <w:rFonts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本的评价机制还加入</w:t>
      </w:r>
      <w:r>
        <w:rPr>
          <w:rFonts w:hint="eastAsia" w:cs="Times New Roman" w:asciiTheme="minorEastAsia" w:hAnsiTheme="minorEastAsia" w:eastAsiaTheme="minorEastAsia"/>
          <w:bCs/>
          <w:color w:val="auto"/>
          <w:sz w:val="24"/>
          <w:szCs w:val="24"/>
          <w:lang w:eastAsia="zh-CN"/>
        </w:rPr>
        <w:t>金融机构</w:t>
      </w:r>
      <w:r>
        <w:rPr>
          <w:rFonts w:cs="Times New Roman" w:asciiTheme="minorEastAsia" w:hAnsiTheme="minorEastAsia" w:eastAsiaTheme="minorEastAsia"/>
          <w:bCs/>
          <w:color w:val="auto"/>
          <w:sz w:val="24"/>
          <w:szCs w:val="24"/>
        </w:rPr>
        <w:t>的真实考核指标评价标准，由数位深耕金融产业的专家进行算法与公式的开发，使</w:t>
      </w:r>
      <w:r>
        <w:rPr>
          <w:rFonts w:hint="eastAsia" w:cs="Times New Roman" w:asciiTheme="minorEastAsia" w:hAnsiTheme="minorEastAsia" w:eastAsiaTheme="minorEastAsia"/>
          <w:bCs/>
          <w:color w:val="auto"/>
          <w:sz w:val="24"/>
          <w:szCs w:val="24"/>
          <w:lang w:eastAsia="zh-CN"/>
        </w:rPr>
        <w:t>参赛选手</w:t>
      </w:r>
      <w:r>
        <w:rPr>
          <w:rFonts w:cs="Times New Roman" w:asciiTheme="minorEastAsia" w:hAnsiTheme="minorEastAsia" w:eastAsiaTheme="minorEastAsia"/>
          <w:bCs/>
          <w:color w:val="auto"/>
          <w:sz w:val="24"/>
          <w:szCs w:val="24"/>
        </w:rPr>
        <w:t>能够理解、学习和体会</w:t>
      </w:r>
      <w:r>
        <w:rPr>
          <w:rFonts w:hint="eastAsia" w:cs="Times New Roman" w:asciiTheme="minorEastAsia" w:hAnsiTheme="minorEastAsia" w:eastAsiaTheme="minorEastAsia"/>
          <w:bCs/>
          <w:color w:val="auto"/>
          <w:sz w:val="24"/>
          <w:szCs w:val="24"/>
          <w:lang w:eastAsia="zh-CN"/>
        </w:rPr>
        <w:t>金融机构</w:t>
      </w:r>
      <w:r>
        <w:rPr>
          <w:rFonts w:cs="Times New Roman" w:asciiTheme="minorEastAsia" w:hAnsiTheme="minorEastAsia" w:eastAsiaTheme="minorEastAsia"/>
          <w:bCs/>
          <w:color w:val="auto"/>
          <w:sz w:val="24"/>
          <w:szCs w:val="24"/>
        </w:rPr>
        <w:t>真实的评价标准并且以此标准进行工作的推进。</w:t>
      </w:r>
    </w:p>
    <w:p w14:paraId="31FC9A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1ZGQwZjFlYzg0M2M3NGEyYjNjOWYyZjZmYmQ3NzIifQ=="/>
  </w:docVars>
  <w:rsids>
    <w:rsidRoot w:val="00000000"/>
    <w:rsid w:val="07107A1C"/>
    <w:rsid w:val="5A7E6297"/>
    <w:rsid w:val="6F8D0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ind w:left="0" w:leftChars="0"/>
      <w:outlineLvl w:val="0"/>
    </w:pPr>
    <w:rPr>
      <w:rFonts w:ascii="Calibri" w:hAnsi="Calibri" w:eastAsia="仿宋" w:cs="Times New Roman"/>
      <w:b/>
      <w:kern w:val="44"/>
      <w:sz w:val="3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1414</Words>
  <Characters>1416</Characters>
  <Lines>0</Lines>
  <Paragraphs>0</Paragraphs>
  <TotalTime>2</TotalTime>
  <ScaleCrop>false</ScaleCrop>
  <LinksUpToDate>false</LinksUpToDate>
  <CharactersWithSpaces>1419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2023-04-14T02:28:00Z</dcterms:created>
  <dc:creator>杜海军</dc:creator>
  <cp:lastModifiedBy>杜海军</cp:lastModifiedBy>
  <dcterms:modified xsi:type="dcterms:W3CDTF">2024-09-09T01:46:55Z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82F812BDA0A74068B7182E0EE064DD13_12</vt:lpwstr>
  </property>
</Properties>
</file>